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8D" w:rsidRPr="007643C2" w:rsidRDefault="00095F51" w:rsidP="00095F51">
      <w:pPr>
        <w:pStyle w:val="Titel"/>
      </w:pPr>
      <w:r>
        <w:t>BBR-</w:t>
      </w:r>
      <w:r w:rsidR="0053708D" w:rsidRPr="007643C2">
        <w:t>begreber</w:t>
      </w:r>
    </w:p>
    <w:p w:rsidR="0053708D" w:rsidRDefault="0053708D" w:rsidP="00095F51"/>
    <w:p w:rsidR="00B45C63" w:rsidRDefault="00095F51" w:rsidP="00B45C63">
      <w:pPr>
        <w:rPr>
          <w:noProof/>
        </w:rPr>
      </w:pPr>
      <w:r>
        <w:t xml:space="preserve">BBR-registret er bygget op om en række centrale begreber, som det er væsentligt at forstå betydningen af. Der er desuden et </w:t>
      </w:r>
      <w:r w:rsidRPr="00095F51">
        <w:t>udbud</w:t>
      </w:r>
      <w:r>
        <w:t xml:space="preserve"> i gang, som vil medføre ændringer i opbygningen af registret.</w:t>
      </w:r>
      <w:r w:rsidR="00B45C63" w:rsidRPr="00B45C63">
        <w:rPr>
          <w:noProof/>
        </w:rPr>
        <w:t xml:space="preserve"> </w:t>
      </w:r>
    </w:p>
    <w:p w:rsidR="0053708D" w:rsidRPr="0053708D" w:rsidRDefault="00B45C63" w:rsidP="00B45C63">
      <w:pPr>
        <w:jc w:val="center"/>
      </w:pPr>
      <w:r>
        <w:rPr>
          <w:noProof/>
        </w:rPr>
        <w:drawing>
          <wp:inline distT="0" distB="0" distL="0" distR="0">
            <wp:extent cx="2954741" cy="1740539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75" cy="174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51" w:rsidRDefault="00095F51" w:rsidP="00095F51">
      <w:pPr>
        <w:pStyle w:val="Overskrift1"/>
      </w:pPr>
      <w:r>
        <w:t>Grund:</w:t>
      </w:r>
    </w:p>
    <w:p w:rsidR="00095F51" w:rsidRDefault="00095F51" w:rsidP="00095F51">
      <w:r>
        <w:t>En grund bestå</w:t>
      </w:r>
      <w:r w:rsidR="00B45C63">
        <w:t>r af et eller flere jordstykker, der</w:t>
      </w:r>
      <w:r>
        <w:t xml:space="preserve"> </w:t>
      </w:r>
      <w:r w:rsidR="00B45C63">
        <w:t xml:space="preserve">hver især </w:t>
      </w:r>
      <w:r>
        <w:t>identificere</w:t>
      </w:r>
      <w:r w:rsidR="00B45C63">
        <w:t>s ud fra en (lands-)ejerlavskode og et matrikelnummer.</w:t>
      </w:r>
    </w:p>
    <w:p w:rsidR="00095F51" w:rsidRDefault="00B45C63" w:rsidP="00095F51">
      <w:r w:rsidRPr="00B45C63">
        <w:rPr>
          <w:noProof/>
        </w:rPr>
        <w:drawing>
          <wp:anchor distT="0" distB="0" distL="114300" distR="114300" simplePos="0" relativeHeight="251658240" behindDoc="1" locked="0" layoutInCell="1" allowOverlap="1" wp14:anchorId="621B9304" wp14:editId="56E3FCFC">
            <wp:simplePos x="0" y="0"/>
            <wp:positionH relativeFrom="column">
              <wp:posOffset>-31115</wp:posOffset>
            </wp:positionH>
            <wp:positionV relativeFrom="paragraph">
              <wp:posOffset>74930</wp:posOffset>
            </wp:positionV>
            <wp:extent cx="2374900" cy="1854200"/>
            <wp:effectExtent l="0" t="0" r="6350" b="0"/>
            <wp:wrapTight wrapText="bothSides">
              <wp:wrapPolygon edited="0">
                <wp:start x="0" y="0"/>
                <wp:lineTo x="0" y="21304"/>
                <wp:lineTo x="21484" y="21304"/>
                <wp:lineTo x="21484" y="0"/>
                <wp:lineTo x="0" y="0"/>
              </wp:wrapPolygon>
            </wp:wrapTight>
            <wp:docPr id="450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Er der flere jordstykker</w:t>
      </w:r>
      <w:r w:rsidR="00095F51">
        <w:t xml:space="preserve">, som er vurderet sammen, udgør de en Vurderings Ejendom (VE). </w:t>
      </w:r>
    </w:p>
    <w:p w:rsidR="00095F51" w:rsidRDefault="00095F51" w:rsidP="00095F51"/>
    <w:p w:rsidR="00095F51" w:rsidRDefault="00095F51" w:rsidP="00095F51">
      <w:r>
        <w:t>Hvis der er jordstykker, som er fysisk sammenhængende (med fælles skellinje) og indgår i den samme Samlede Faste Ejendom (SFE), vil de stå under samme grund (GRU).</w:t>
      </w:r>
    </w:p>
    <w:p w:rsidR="00095F51" w:rsidRDefault="00095F51" w:rsidP="00095F51"/>
    <w:p w:rsidR="00B4562D" w:rsidRDefault="00095F51" w:rsidP="00095F51">
      <w:r>
        <w:t>Hvis de ikke har fælles skellinje, vil de være registreret som sæ</w:t>
      </w:r>
      <w:r>
        <w:t>r</w:t>
      </w:r>
      <w:r>
        <w:t xml:space="preserve">skilte grunde (GRU) på trods af, at de er </w:t>
      </w:r>
      <w:proofErr w:type="spellStart"/>
      <w:r>
        <w:t>samnoteret</w:t>
      </w:r>
      <w:proofErr w:type="spellEnd"/>
      <w:r>
        <w:t>. Er der jor</w:t>
      </w:r>
      <w:r>
        <w:t>d</w:t>
      </w:r>
      <w:r>
        <w:t xml:space="preserve">stykker, der ikke er </w:t>
      </w:r>
      <w:proofErr w:type="spellStart"/>
      <w:r>
        <w:t>samnoteret</w:t>
      </w:r>
      <w:proofErr w:type="spellEnd"/>
      <w:r>
        <w:t xml:space="preserve">, men </w:t>
      </w:r>
      <w:proofErr w:type="spellStart"/>
      <w:r>
        <w:t>samvurderet</w:t>
      </w:r>
      <w:proofErr w:type="spellEnd"/>
      <w:r>
        <w:t>, vil de også være registreret som særskilte grunde (GRU).</w:t>
      </w:r>
    </w:p>
    <w:p w:rsidR="00095F51" w:rsidRDefault="00095F51" w:rsidP="00095F51"/>
    <w:p w:rsidR="00B45C63" w:rsidRDefault="00B45C63" w:rsidP="00B45C63">
      <w:pPr>
        <w:pStyle w:val="Overskrift1"/>
      </w:pPr>
      <w:r>
        <w:t>Bygning:</w:t>
      </w:r>
    </w:p>
    <w:p w:rsidR="00CE498B" w:rsidRDefault="00CE498B" w:rsidP="00B45C63">
      <w:r>
        <w:rPr>
          <w:rFonts w:ascii="Verdana" w:hAnsi="Verdana" w:cs="Verdana"/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 wp14:anchorId="1592A206" wp14:editId="355E6EA3">
            <wp:simplePos x="0" y="0"/>
            <wp:positionH relativeFrom="column">
              <wp:posOffset>3408680</wp:posOffset>
            </wp:positionH>
            <wp:positionV relativeFrom="paragraph">
              <wp:posOffset>57150</wp:posOffset>
            </wp:positionV>
            <wp:extent cx="270700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C63">
        <w:t xml:space="preserve">En bygning (BYG) består af en eller flere konstruktioner, der udgør en rumlig helhed, og som skærmer mod vejrliget. En bygning består som minimum af en overdækning (et tag). </w:t>
      </w:r>
    </w:p>
    <w:p w:rsidR="00B45C63" w:rsidRDefault="00B45C63" w:rsidP="00B45C63">
      <w:r>
        <w:t>Kommunalbestyrelsen afgør, hvorvidt bygninger, der ikke er omfattet af byggeloven og samtidig dækker et areal på mindre end 10 m2, skal optages i BBR. De afgør ligeledes, hvorvidt kolonihavehuse af forholdsvis ringe værdi skal optages i BBR.</w:t>
      </w:r>
      <w:r w:rsidR="00CE498B" w:rsidRPr="00CE498B">
        <w:rPr>
          <w:rFonts w:ascii="Verdana" w:hAnsi="Verdana" w:cs="Verdana"/>
          <w:noProof/>
          <w:sz w:val="10"/>
          <w:szCs w:val="10"/>
        </w:rPr>
        <w:t xml:space="preserve"> </w:t>
      </w:r>
    </w:p>
    <w:p w:rsidR="00B45C63" w:rsidRDefault="00CE498B" w:rsidP="00CE498B">
      <w:pPr>
        <w:jc w:val="right"/>
        <w:rPr>
          <w:i/>
          <w:sz w:val="20"/>
        </w:rPr>
      </w:pPr>
      <w:r w:rsidRPr="00CE498B">
        <w:rPr>
          <w:i/>
          <w:sz w:val="20"/>
        </w:rPr>
        <w:t>På denne Vurderings Ejendom er der fire bygninger.</w:t>
      </w:r>
    </w:p>
    <w:p w:rsidR="00CE498B" w:rsidRDefault="00CE498B" w:rsidP="00CE498B"/>
    <w:p w:rsidR="00CE498B" w:rsidRDefault="00CE498B" w:rsidP="00CE498B"/>
    <w:p w:rsidR="00CE498B" w:rsidRDefault="00CE498B" w:rsidP="00CE498B"/>
    <w:p w:rsidR="00CE498B" w:rsidRDefault="00CE498B" w:rsidP="00CE498B">
      <w:pPr>
        <w:pStyle w:val="Overskrift1"/>
      </w:pPr>
      <w:r>
        <w:lastRenderedPageBreak/>
        <w:t>Opgang:</w:t>
      </w:r>
    </w:p>
    <w:p w:rsidR="00CE498B" w:rsidRDefault="00CE498B" w:rsidP="00CE498B">
      <w:r>
        <w:rPr>
          <w:rFonts w:ascii="Verdana" w:hAnsi="Verdana" w:cs="Verdana"/>
          <w:noProof/>
        </w:rPr>
        <w:drawing>
          <wp:anchor distT="0" distB="0" distL="114300" distR="114300" simplePos="0" relativeHeight="251661312" behindDoc="1" locked="0" layoutInCell="1" allowOverlap="1" wp14:anchorId="661AA018" wp14:editId="267CB1F4">
            <wp:simplePos x="0" y="0"/>
            <wp:positionH relativeFrom="column">
              <wp:posOffset>3278505</wp:posOffset>
            </wp:positionH>
            <wp:positionV relativeFrom="paragraph">
              <wp:posOffset>28575</wp:posOffset>
            </wp:positionV>
            <wp:extent cx="2795905" cy="1685925"/>
            <wp:effectExtent l="0" t="0" r="4445" b="9525"/>
            <wp:wrapTight wrapText="bothSides">
              <wp:wrapPolygon edited="0">
                <wp:start x="0" y="0"/>
                <wp:lineTo x="0" y="21478"/>
                <wp:lineTo x="21487" y="21478"/>
                <wp:lineTo x="21487" y="0"/>
                <wp:lineTo x="0" y="0"/>
              </wp:wrapPolygon>
            </wp:wrapTight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Ved en opgang/indgang (OPG) forstås det primære a</w:t>
      </w:r>
      <w:r>
        <w:t>d</w:t>
      </w:r>
      <w:r>
        <w:t>gangsgivende areal og/eller en indgangsdør, som giver adgang til en samlet eller væsentlige dele af en bygning.</w:t>
      </w:r>
    </w:p>
    <w:p w:rsidR="00CE498B" w:rsidRDefault="00CE498B" w:rsidP="00CE498B"/>
    <w:p w:rsidR="00CE498B" w:rsidRDefault="00CE498B" w:rsidP="00CE498B">
      <w:r>
        <w:t>Til samtlige bolig- og erhvervsenheder samt brugsenh</w:t>
      </w:r>
      <w:r>
        <w:t>e</w:t>
      </w:r>
      <w:r>
        <w:t>der skal der være knyttet mindst én opgang/indgang, der markerer det sted, som udgør den udefra kommende hovedadgangsvej til en eller flere enheder.</w:t>
      </w:r>
      <w:r w:rsidRPr="00CE498B">
        <w:rPr>
          <w:rFonts w:ascii="Verdana" w:hAnsi="Verdana" w:cs="Verdana"/>
        </w:rPr>
        <w:t xml:space="preserve"> </w:t>
      </w:r>
    </w:p>
    <w:p w:rsidR="00CE498B" w:rsidRDefault="00CE498B" w:rsidP="00CE498B">
      <w:pPr>
        <w:jc w:val="right"/>
        <w:rPr>
          <w:i/>
          <w:sz w:val="22"/>
          <w:szCs w:val="22"/>
        </w:rPr>
      </w:pPr>
    </w:p>
    <w:p w:rsidR="00CE498B" w:rsidRDefault="00CE498B" w:rsidP="00CE498B">
      <w:pPr>
        <w:jc w:val="right"/>
        <w:rPr>
          <w:i/>
          <w:sz w:val="22"/>
          <w:szCs w:val="22"/>
        </w:rPr>
      </w:pPr>
    </w:p>
    <w:p w:rsidR="00CE498B" w:rsidRDefault="00CE498B" w:rsidP="00CE498B">
      <w:pPr>
        <w:jc w:val="right"/>
        <w:rPr>
          <w:i/>
          <w:sz w:val="22"/>
          <w:szCs w:val="22"/>
        </w:rPr>
      </w:pPr>
      <w:r w:rsidRPr="00CE498B">
        <w:rPr>
          <w:i/>
          <w:sz w:val="22"/>
          <w:szCs w:val="22"/>
        </w:rPr>
        <w:t xml:space="preserve">På denne </w:t>
      </w:r>
      <w:proofErr w:type="spellStart"/>
      <w:r w:rsidRPr="00CE498B">
        <w:rPr>
          <w:i/>
          <w:sz w:val="22"/>
          <w:szCs w:val="22"/>
        </w:rPr>
        <w:t>Vu</w:t>
      </w:r>
      <w:r w:rsidR="00096B55">
        <w:rPr>
          <w:i/>
          <w:sz w:val="22"/>
          <w:szCs w:val="22"/>
        </w:rPr>
        <w:t>r</w:t>
      </w:r>
      <w:r w:rsidRPr="00CE498B">
        <w:rPr>
          <w:i/>
          <w:sz w:val="22"/>
          <w:szCs w:val="22"/>
        </w:rPr>
        <w:t>deringsEjendom</w:t>
      </w:r>
      <w:proofErr w:type="spellEnd"/>
      <w:r w:rsidRPr="00CE498B">
        <w:rPr>
          <w:i/>
          <w:sz w:val="22"/>
          <w:szCs w:val="22"/>
        </w:rPr>
        <w:t xml:space="preserve"> er der en bygning (BYG)</w:t>
      </w:r>
    </w:p>
    <w:p w:rsidR="00CE498B" w:rsidRPr="00CE498B" w:rsidRDefault="00CE498B" w:rsidP="00CE498B">
      <w:pPr>
        <w:jc w:val="right"/>
        <w:rPr>
          <w:i/>
          <w:sz w:val="22"/>
          <w:szCs w:val="22"/>
        </w:rPr>
      </w:pPr>
      <w:r w:rsidRPr="00CE498B">
        <w:rPr>
          <w:i/>
          <w:sz w:val="22"/>
          <w:szCs w:val="22"/>
        </w:rPr>
        <w:t xml:space="preserve"> men to opgange/in</w:t>
      </w:r>
      <w:r>
        <w:rPr>
          <w:i/>
          <w:sz w:val="22"/>
          <w:szCs w:val="22"/>
        </w:rPr>
        <w:t>d</w:t>
      </w:r>
      <w:r w:rsidRPr="00CE498B">
        <w:rPr>
          <w:i/>
          <w:sz w:val="22"/>
          <w:szCs w:val="22"/>
        </w:rPr>
        <w:t>gange (OPG)</w:t>
      </w:r>
    </w:p>
    <w:p w:rsidR="00096B55" w:rsidRDefault="00096B55" w:rsidP="00CE498B"/>
    <w:p w:rsidR="00CE498B" w:rsidRDefault="00CE498B" w:rsidP="00CE498B">
      <w:r>
        <w:t>Dette begreb udfases fra BBR, i fo</w:t>
      </w:r>
      <w:r w:rsidR="00096B55">
        <w:t xml:space="preserve">rbindelse med udvidelsen af BBR, men </w:t>
      </w:r>
      <w:r w:rsidR="00DC316C">
        <w:t>vil findes</w:t>
      </w:r>
      <w:r w:rsidR="00096B55" w:rsidRPr="00096B55">
        <w:t xml:space="preserve"> som adgangspunkter i Adresseregistret</w:t>
      </w:r>
      <w:r w:rsidR="00096B55">
        <w:t xml:space="preserve"> </w:t>
      </w:r>
      <w:proofErr w:type="spellStart"/>
      <w:r w:rsidR="00096B55">
        <w:t>istedet</w:t>
      </w:r>
      <w:proofErr w:type="spellEnd"/>
      <w:r w:rsidR="00096B55" w:rsidRPr="00096B55">
        <w:t>.</w:t>
      </w:r>
      <w:r w:rsidR="00DC316C">
        <w:t xml:space="preserve"> </w:t>
      </w:r>
      <w:r w:rsidR="00DC316C" w:rsidRPr="00DC316C">
        <w:t>Adgangspunktet svarer principielt til det nuværende ”adressepunkt”</w:t>
      </w:r>
      <w:r w:rsidR="00DC316C">
        <w:t xml:space="preserve"> i GIS.</w:t>
      </w:r>
      <w:bookmarkStart w:id="0" w:name="_GoBack"/>
      <w:bookmarkEnd w:id="0"/>
      <w:r w:rsidR="00DC316C" w:rsidRPr="00DC316C">
        <w:t xml:space="preserve"> </w:t>
      </w:r>
      <w:r w:rsidR="00096B55" w:rsidRPr="00096B55">
        <w:cr/>
      </w:r>
    </w:p>
    <w:p w:rsidR="00CE498B" w:rsidRDefault="00CE498B" w:rsidP="00CE498B">
      <w:pPr>
        <w:pStyle w:val="Overskrift1"/>
      </w:pPr>
      <w:r>
        <w:t>Bolig- eller erhvervsenhed:</w:t>
      </w:r>
    </w:p>
    <w:p w:rsidR="00CE498B" w:rsidRDefault="00CE498B" w:rsidP="00CE498B">
      <w:r>
        <w:t>Ved en bolig- eller erhvervsenhed forstås et sammenhængende areal i en bygning med selvstændig adgang fra en opgang/indgang. Bolig- eller erhvervsenheden skal være afgrænset og fysisk adskilt fra andre bolig- eller erhvervsenheder.</w:t>
      </w:r>
    </w:p>
    <w:p w:rsidR="00CE498B" w:rsidRDefault="00CE498B" w:rsidP="00CE498B"/>
    <w:p w:rsidR="00CE498B" w:rsidRDefault="00CE498B" w:rsidP="00CE498B">
      <w:r>
        <w:t>For bygninger, der anvendes til både beboelse og erhverv, foretages en fuldstændig opdeling på særskilte boligenheder og erhvervsenheder. Hvis det samlede areal af boligenhederne i bygningen udgør mindre end 5 % af det samlede bygningsareal, foretages som minimum en registrering af de enheder, som anvendes til beboelse.</w:t>
      </w:r>
    </w:p>
    <w:p w:rsidR="00CE498B" w:rsidRDefault="00CE498B" w:rsidP="00CE498B"/>
    <w:p w:rsidR="00CE498B" w:rsidRDefault="00CE498B" w:rsidP="00CE498B">
      <w:r>
        <w:t>Erhvervsenheder, der samtidig er ejerlejligheder skal optages i BBR. Kommunalbestyrelsen afgør, hvorvidt øvrigt erhvervsareal skal optages i BBR.</w:t>
      </w:r>
    </w:p>
    <w:p w:rsidR="00CE498B" w:rsidRDefault="00CE498B" w:rsidP="00CE498B"/>
    <w:p w:rsidR="00CE498B" w:rsidRDefault="00CE498B" w:rsidP="00CE498B">
      <w:pPr>
        <w:pStyle w:val="Overskrift1"/>
      </w:pPr>
      <w:r>
        <w:t>Teknisk anlæg:</w:t>
      </w:r>
    </w:p>
    <w:p w:rsidR="00D63913" w:rsidRDefault="00CE498B" w:rsidP="00CE498B">
      <w:r>
        <w:t>På et jordstykke kan der være placeret et Teknisk Anlæg (TEK)</w:t>
      </w:r>
      <w:r w:rsidR="00D63913">
        <w:t>.</w:t>
      </w:r>
      <w:r>
        <w:t xml:space="preserve"> Ved et Teknisk Anlæg forstås en stedfast, klart afgrænset konstruktion, som er opført til et bestemt teknisk formål, og ikke kan karakteriseres som en bygning. </w:t>
      </w:r>
    </w:p>
    <w:p w:rsidR="00D63913" w:rsidRDefault="00D63913" w:rsidP="00CE498B"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2DD3094F" wp14:editId="1418E61B">
            <wp:simplePos x="0" y="0"/>
            <wp:positionH relativeFrom="column">
              <wp:posOffset>3191510</wp:posOffset>
            </wp:positionH>
            <wp:positionV relativeFrom="paragraph">
              <wp:posOffset>106680</wp:posOffset>
            </wp:positionV>
            <wp:extent cx="2933065" cy="908050"/>
            <wp:effectExtent l="0" t="0" r="635" b="6350"/>
            <wp:wrapTight wrapText="bothSides">
              <wp:wrapPolygon edited="0">
                <wp:start x="0" y="0"/>
                <wp:lineTo x="0" y="21298"/>
                <wp:lineTo x="21464" y="21298"/>
                <wp:lineTo x="21464" y="0"/>
                <wp:lineTo x="0" y="0"/>
              </wp:wrapPolygon>
            </wp:wrapTight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98B" w:rsidRDefault="00CE498B" w:rsidP="00CE498B">
      <w:r>
        <w:t>Teknisk anlæg kan både forekomme under matrikel og under bygning. Teknisk Anlæg er et nyere begreb, og i mange kommuner er disse anlæg i dag registreret som bygninger (BYG).</w:t>
      </w:r>
      <w:r w:rsidR="00D63913" w:rsidRPr="00D63913">
        <w:rPr>
          <w:rFonts w:ascii="Times New Roman" w:hAnsi="Times New Roman"/>
          <w:szCs w:val="24"/>
        </w:rPr>
        <w:t xml:space="preserve"> </w:t>
      </w:r>
    </w:p>
    <w:p w:rsidR="00CE498B" w:rsidRDefault="00CE498B" w:rsidP="00CE498B"/>
    <w:p w:rsidR="00D63913" w:rsidRDefault="00D63913" w:rsidP="00D63913">
      <w:pPr>
        <w:jc w:val="right"/>
        <w:rPr>
          <w:i/>
          <w:sz w:val="22"/>
          <w:szCs w:val="22"/>
        </w:rPr>
      </w:pPr>
      <w:r w:rsidRPr="00D63913">
        <w:rPr>
          <w:i/>
          <w:sz w:val="22"/>
          <w:szCs w:val="22"/>
        </w:rPr>
        <w:t xml:space="preserve">På dette jordstykke (MAT) er der registreret </w:t>
      </w:r>
    </w:p>
    <w:p w:rsidR="00D63913" w:rsidRPr="00D63913" w:rsidRDefault="00D63913" w:rsidP="00D63913">
      <w:pPr>
        <w:jc w:val="right"/>
        <w:rPr>
          <w:i/>
          <w:sz w:val="22"/>
          <w:szCs w:val="22"/>
        </w:rPr>
      </w:pPr>
      <w:r w:rsidRPr="00D63913">
        <w:rPr>
          <w:i/>
          <w:sz w:val="22"/>
          <w:szCs w:val="22"/>
        </w:rPr>
        <w:t>en Bygning (BYG) og et Teknisk Anlæg (TEK)</w:t>
      </w:r>
    </w:p>
    <w:sectPr w:rsidR="00D63913" w:rsidRPr="00D63913" w:rsidSect="007643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283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8D" w:rsidRDefault="0053708D" w:rsidP="00095F51">
      <w:r>
        <w:separator/>
      </w:r>
    </w:p>
  </w:endnote>
  <w:endnote w:type="continuationSeparator" w:id="0">
    <w:p w:rsidR="0053708D" w:rsidRDefault="0053708D" w:rsidP="000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C2" w:rsidRDefault="00D205C7" w:rsidP="00095F51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E33468" wp14:editId="375E57F8">
          <wp:simplePos x="0" y="0"/>
          <wp:positionH relativeFrom="column">
            <wp:posOffset>5127729</wp:posOffset>
          </wp:positionH>
          <wp:positionV relativeFrom="paragraph">
            <wp:posOffset>-208280</wp:posOffset>
          </wp:positionV>
          <wp:extent cx="901065" cy="791845"/>
          <wp:effectExtent l="0" t="0" r="0" b="8255"/>
          <wp:wrapNone/>
          <wp:docPr id="1" name="Billede 1" descr="S:\Fagprogrammer\office_makroer\lifamak\logo_brevpapir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agprogrammer\office_makroer\lifamak\logo_brevpapir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6184EF" wp14:editId="6D35955F">
          <wp:extent cx="3145790" cy="504825"/>
          <wp:effectExtent l="0" t="0" r="0" b="9525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08D" w:rsidRDefault="0053708D" w:rsidP="00095F51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3CC57E8" wp14:editId="01554BC8">
          <wp:simplePos x="0" y="0"/>
          <wp:positionH relativeFrom="page">
            <wp:align>center</wp:align>
          </wp:positionH>
          <wp:positionV relativeFrom="page">
            <wp:posOffset>8963660</wp:posOffset>
          </wp:positionV>
          <wp:extent cx="7124700" cy="680720"/>
          <wp:effectExtent l="0" t="0" r="0" b="5080"/>
          <wp:wrapNone/>
          <wp:docPr id="3" name="Billede 1" descr="S:\Fagprogrammer\office_makroer\lifamak\logo_brevpapir_b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agprogrammer\office_makroer\lifamak\logo_brevpapir_bun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8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1"/>
      <w:gridCol w:w="567"/>
      <w:gridCol w:w="2041"/>
      <w:gridCol w:w="935"/>
      <w:gridCol w:w="1020"/>
      <w:gridCol w:w="850"/>
      <w:gridCol w:w="992"/>
      <w:gridCol w:w="992"/>
      <w:gridCol w:w="992"/>
    </w:tblGrid>
    <w:tr w:rsidR="00CE498B" w:rsidTr="007073EC">
      <w:trPr>
        <w:trHeight w:val="431"/>
      </w:trPr>
      <w:tc>
        <w:tcPr>
          <w:tcW w:w="5109" w:type="dxa"/>
          <w:gridSpan w:val="3"/>
          <w:shd w:val="clear" w:color="auto" w:fill="auto"/>
        </w:tcPr>
        <w:p w:rsidR="00CE498B" w:rsidRPr="0053708D" w:rsidRDefault="00CE498B" w:rsidP="007073EC">
          <w:pPr>
            <w:pStyle w:val="Sidefod"/>
            <w:rPr>
              <w:b/>
              <w:color w:val="FFFFFF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0" wp14:anchorId="4571D66D" wp14:editId="3B3BE62B">
                <wp:simplePos x="0" y="0"/>
                <wp:positionH relativeFrom="page">
                  <wp:posOffset>-5080</wp:posOffset>
                </wp:positionH>
                <wp:positionV relativeFrom="page">
                  <wp:posOffset>-521365</wp:posOffset>
                </wp:positionV>
                <wp:extent cx="7124700" cy="683895"/>
                <wp:effectExtent l="0" t="0" r="0" b="1905"/>
                <wp:wrapNone/>
                <wp:docPr id="2" name="Billede 2" descr="S:\Fagprogrammer\office_makroer\lifamak\logo_brevpapir_b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Fagprogrammer\office_makroer\lifamak\logo_brevpapir_b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FFFFFF"/>
              <w:sz w:val="18"/>
            </w:rPr>
            <w:t>LANDINSPEKTØRER</w:t>
          </w:r>
        </w:p>
      </w:tc>
      <w:tc>
        <w:tcPr>
          <w:tcW w:w="935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  <w:tc>
        <w:tcPr>
          <w:tcW w:w="1020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  <w:tc>
        <w:tcPr>
          <w:tcW w:w="850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</w:pPr>
        </w:p>
      </w:tc>
    </w:tr>
    <w:tr w:rsidR="00CE498B" w:rsidRPr="0053708D" w:rsidTr="007073EC">
      <w:trPr>
        <w:trHeight w:val="873"/>
      </w:trPr>
      <w:tc>
        <w:tcPr>
          <w:tcW w:w="2501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proofErr w:type="gramStart"/>
          <w:r>
            <w:rPr>
              <w:rFonts w:ascii="Arial" w:hAnsi="Arial" w:cs="Arial"/>
              <w:color w:val="FF0000"/>
              <w:sz w:val="14"/>
            </w:rPr>
            <w:t xml:space="preserve">A  </w:t>
          </w:r>
          <w:r>
            <w:rPr>
              <w:rFonts w:ascii="Arial" w:hAnsi="Arial" w:cs="Arial"/>
              <w:color w:val="00336F"/>
              <w:sz w:val="14"/>
            </w:rPr>
            <w:t>Østergade</w:t>
          </w:r>
          <w:proofErr w:type="gramEnd"/>
          <w:r>
            <w:rPr>
              <w:rFonts w:ascii="Arial" w:hAnsi="Arial" w:cs="Arial"/>
              <w:color w:val="00336F"/>
              <w:sz w:val="14"/>
            </w:rPr>
            <w:t xml:space="preserve"> 61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 xml:space="preserve">    5000 Odense C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proofErr w:type="gramStart"/>
          <w:r>
            <w:rPr>
              <w:rFonts w:ascii="Arial" w:hAnsi="Arial" w:cs="Arial"/>
              <w:color w:val="FF0000"/>
              <w:sz w:val="14"/>
            </w:rPr>
            <w:t xml:space="preserve">T  </w:t>
          </w:r>
          <w:r>
            <w:rPr>
              <w:rFonts w:ascii="Arial" w:hAnsi="Arial" w:cs="Arial"/>
              <w:color w:val="00336F"/>
              <w:sz w:val="14"/>
            </w:rPr>
            <w:t>6313</w:t>
          </w:r>
          <w:proofErr w:type="gramEnd"/>
          <w:r>
            <w:rPr>
              <w:rFonts w:ascii="Arial" w:hAnsi="Arial" w:cs="Arial"/>
              <w:color w:val="00336F"/>
              <w:sz w:val="14"/>
            </w:rPr>
            <w:t xml:space="preserve"> 6800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@ </w:t>
          </w:r>
          <w:r>
            <w:rPr>
              <w:rFonts w:ascii="Arial" w:hAnsi="Arial" w:cs="Arial"/>
              <w:color w:val="00336F"/>
              <w:sz w:val="14"/>
            </w:rPr>
            <w:t>pli@lifa.dk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567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FF0000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>LIFA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FF0000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>CVR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FF0000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>WWW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FF0000"/>
              <w:sz w:val="14"/>
            </w:rPr>
          </w:pPr>
        </w:p>
      </w:tc>
      <w:tc>
        <w:tcPr>
          <w:tcW w:w="2041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A/S Landinspektører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proofErr w:type="gramStart"/>
          <w:r>
            <w:rPr>
              <w:rFonts w:ascii="Arial" w:hAnsi="Arial" w:cs="Arial"/>
              <w:color w:val="00336F"/>
              <w:sz w:val="14"/>
            </w:rPr>
            <w:t>20937289</w:t>
          </w:r>
          <w:proofErr w:type="gramEnd"/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lifa.dk</w:t>
          </w:r>
        </w:p>
      </w:tc>
      <w:tc>
        <w:tcPr>
          <w:tcW w:w="935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Farum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Fredericia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Glostrup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Kerteminde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1020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6313 6900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7591 1200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3810 4700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6532 1771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850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Kolding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Lindø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Middelfart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Odense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7550 4900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3410 6600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6441 8100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6313 6800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Ringe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Vejle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Vissenbjerg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00336F"/>
              <w:sz w:val="14"/>
            </w:rPr>
            <w:t>Aarhus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  <w:tc>
        <w:tcPr>
          <w:tcW w:w="992" w:type="dxa"/>
          <w:shd w:val="clear" w:color="auto" w:fill="auto"/>
        </w:tcPr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6262 2563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7641 7100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6480 1500</w:t>
          </w:r>
        </w:p>
        <w:p w:rsidR="00CE498B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  <w:r>
            <w:rPr>
              <w:rFonts w:ascii="Arial" w:hAnsi="Arial" w:cs="Arial"/>
              <w:color w:val="FF0000"/>
              <w:sz w:val="14"/>
            </w:rPr>
            <w:t xml:space="preserve">T </w:t>
          </w:r>
          <w:r>
            <w:rPr>
              <w:rFonts w:ascii="Arial" w:hAnsi="Arial" w:cs="Arial"/>
              <w:color w:val="00336F"/>
              <w:sz w:val="14"/>
            </w:rPr>
            <w:t>8693 9300</w:t>
          </w:r>
        </w:p>
        <w:p w:rsidR="00CE498B" w:rsidRPr="0053708D" w:rsidRDefault="00CE498B" w:rsidP="007073EC">
          <w:pPr>
            <w:pStyle w:val="Sidefod"/>
            <w:rPr>
              <w:rFonts w:ascii="Arial" w:hAnsi="Arial" w:cs="Arial"/>
              <w:color w:val="00336F"/>
              <w:sz w:val="14"/>
            </w:rPr>
          </w:pPr>
        </w:p>
      </w:tc>
    </w:tr>
  </w:tbl>
  <w:p w:rsidR="0053708D" w:rsidRPr="00CE498B" w:rsidRDefault="0053708D" w:rsidP="00CE49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8D" w:rsidRDefault="0053708D" w:rsidP="00095F51">
      <w:r>
        <w:separator/>
      </w:r>
    </w:p>
  </w:footnote>
  <w:footnote w:type="continuationSeparator" w:id="0">
    <w:p w:rsidR="0053708D" w:rsidRDefault="0053708D" w:rsidP="0009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D" w:rsidRPr="0053708D" w:rsidRDefault="0053708D" w:rsidP="00095F51">
    <w:pPr>
      <w:pStyle w:val="Sidehoved"/>
      <w:rPr>
        <w:color w:val="000000"/>
      </w:rPr>
    </w:pPr>
    <w:r>
      <w:rPr>
        <w:color w:val="FF0000"/>
      </w:rPr>
      <w:t xml:space="preserve">Side </w:t>
    </w:r>
    <w:r>
      <w:fldChar w:fldCharType="begin"/>
    </w:r>
    <w:r>
      <w:instrText xml:space="preserve"> PAGE  \* MERGEFORMAT </w:instrText>
    </w:r>
    <w:r>
      <w:fldChar w:fldCharType="separate"/>
    </w:r>
    <w:r w:rsidR="00DC316C">
      <w:rPr>
        <w:noProof/>
      </w:rPr>
      <w:t>2</w:t>
    </w:r>
    <w:r>
      <w:fldChar w:fldCharType="end"/>
    </w:r>
    <w:r>
      <w:t xml:space="preserve"> / </w:t>
    </w:r>
    <w:r w:rsidR="00DC316C">
      <w:fldChar w:fldCharType="begin"/>
    </w:r>
    <w:r w:rsidR="00DC316C">
      <w:instrText xml:space="preserve"> NUMPAGES  \* MERGEFORMAT </w:instrText>
    </w:r>
    <w:r w:rsidR="00DC316C">
      <w:fldChar w:fldCharType="separate"/>
    </w:r>
    <w:r w:rsidR="00DC316C">
      <w:rPr>
        <w:noProof/>
      </w:rPr>
      <w:t>2</w:t>
    </w:r>
    <w:r w:rsidR="00DC316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D" w:rsidRDefault="0053708D" w:rsidP="00095F51">
    <w:pPr>
      <w:pStyle w:val="Sidehoved"/>
    </w:pPr>
  </w:p>
  <w:p w:rsidR="0053708D" w:rsidRDefault="0053708D" w:rsidP="00095F51">
    <w:pPr>
      <w:pStyle w:val="Sidehoved"/>
    </w:pPr>
    <w:r>
      <w:rPr>
        <w:noProof/>
      </w:rPr>
      <w:drawing>
        <wp:inline distT="0" distB="0" distL="0" distR="0" wp14:anchorId="106CB11A" wp14:editId="34D2F7AE">
          <wp:extent cx="3145790" cy="504825"/>
          <wp:effectExtent l="0" t="0" r="0" b="9525"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869"/>
    <w:multiLevelType w:val="hybridMultilevel"/>
    <w:tmpl w:val="1BF6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D"/>
    <w:rsid w:val="00095F51"/>
    <w:rsid w:val="00096B55"/>
    <w:rsid w:val="001C6810"/>
    <w:rsid w:val="0053708D"/>
    <w:rsid w:val="007643C2"/>
    <w:rsid w:val="00B4562D"/>
    <w:rsid w:val="00B45C63"/>
    <w:rsid w:val="00CE498B"/>
    <w:rsid w:val="00D205C7"/>
    <w:rsid w:val="00D63913"/>
    <w:rsid w:val="00D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51"/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3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4F81BD" w:themeColor="accent1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7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4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table" w:styleId="Tabel-Gitter">
    <w:name w:val="Table Grid"/>
    <w:basedOn w:val="Tabel-Normal"/>
    <w:uiPriority w:val="59"/>
    <w:rsid w:val="0053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370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5370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3708D"/>
    <w:pPr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43C2"/>
    <w:rPr>
      <w:rFonts w:asciiTheme="majorHAnsi" w:eastAsiaTheme="majorEastAsia" w:hAnsiTheme="majorHAnsi" w:cstheme="majorBidi"/>
      <w:b/>
      <w:bCs/>
      <w:color w:val="4F81BD" w:themeColor="accent1"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37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43C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43C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643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51"/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3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4F81BD" w:themeColor="accent1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7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4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table" w:styleId="Tabel-Gitter">
    <w:name w:val="Table Grid"/>
    <w:basedOn w:val="Tabel-Normal"/>
    <w:uiPriority w:val="59"/>
    <w:rsid w:val="0053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370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5370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3708D"/>
    <w:pPr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43C2"/>
    <w:rPr>
      <w:rFonts w:asciiTheme="majorHAnsi" w:eastAsiaTheme="majorEastAsia" w:hAnsiTheme="majorHAnsi" w:cstheme="majorBidi"/>
      <w:b/>
      <w:bCs/>
      <w:color w:val="4F81BD" w:themeColor="accent1"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37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43C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43C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643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gprogrammer\journal4\WordTemplates\StandardBrev%20D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StandardBrev DK.dot</Template>
  <TotalTime>58</TotalTime>
  <Pages>2</Pages>
  <Words>484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lifa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Preben Lisby</dc:creator>
  <cp:lastModifiedBy>Preben Lisby</cp:lastModifiedBy>
  <cp:revision>4</cp:revision>
  <dcterms:created xsi:type="dcterms:W3CDTF">2016-01-19T21:00:00Z</dcterms:created>
  <dcterms:modified xsi:type="dcterms:W3CDTF">2016-01-21T10:54:00Z</dcterms:modified>
</cp:coreProperties>
</file>